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2018-2023年不动产纠纷相关案件数据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营商环境，保护各类市场主体的合格权益，是促进辖区经济和社会持续健康发展的重要抓手。让胡路法院充分发挥人民法院在推进法治化营商环境中的职能作用，持续加强产权司法保护,公正高效审理不动产纠纷案件，维护市场交易秩序，保护当事人合法产权，为促进经济社会健康发展提供优质司法服务和保障。</w:t>
      </w:r>
    </w:p>
    <w:tbl>
      <w:tblPr>
        <w:tblStyle w:val="2"/>
        <w:tblpPr w:leftFromText="180" w:rightFromText="180" w:vertAnchor="text" w:horzAnchor="page" w:tblpX="865" w:tblpY="606"/>
        <w:tblOverlap w:val="never"/>
        <w:tblW w:w="10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690"/>
        <w:gridCol w:w="305"/>
        <w:gridCol w:w="460"/>
        <w:gridCol w:w="690"/>
        <w:gridCol w:w="702"/>
        <w:gridCol w:w="576"/>
        <w:gridCol w:w="365"/>
        <w:gridCol w:w="705"/>
        <w:gridCol w:w="144"/>
        <w:gridCol w:w="679"/>
        <w:gridCol w:w="535"/>
        <w:gridCol w:w="170"/>
        <w:gridCol w:w="823"/>
        <w:gridCol w:w="221"/>
        <w:gridCol w:w="484"/>
        <w:gridCol w:w="727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5" w:type="dxa"/>
          <w:trHeight w:val="915" w:hRule="atLeast"/>
        </w:trPr>
        <w:tc>
          <w:tcPr>
            <w:tcW w:w="9570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大庆市让胡路区人民法院不动产纠纷案件一审结案数量</w:t>
            </w:r>
            <w:r>
              <w:rPr>
                <w:rStyle w:val="4"/>
                <w:lang w:val="en-US" w:eastAsia="zh-CN" w:bidi="ar"/>
              </w:rPr>
              <w:t>（单位：件）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5" w:type="dxa"/>
          <w:trHeight w:val="570" w:hRule="atLeast"/>
        </w:trPr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5" w:type="dxa"/>
          <w:trHeight w:val="570" w:hRule="atLeast"/>
        </w:trPr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不动产物权纠纷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5" w:type="dxa"/>
          <w:trHeight w:val="570" w:hRule="atLeast"/>
        </w:trPr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不动产合同纠纷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5" w:type="dxa"/>
          <w:trHeight w:val="570" w:hRule="atLeast"/>
        </w:trPr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5" w:type="dxa"/>
          <w:trHeight w:val="270" w:hRule="atLeast"/>
        </w:trPr>
        <w:tc>
          <w:tcPr>
            <w:tcW w:w="2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245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注：表中不动产物权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纠纷包含不动产登记纠纷、建设用地使用权纠纷、宅基地使用权纠纷、地役权纠纷、抵押权纠纷等5个三级案由；不动产合同纠纷包含建设用地使用权合同纠纷、房屋买卖合同纠纷、抵押合同纠纷等3个三级案由。下同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大庆市让胡路区人民法院不动产纠纷案件平均结案时间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(单位：天)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一审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再审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再审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不动产物权纠纷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72.25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不动产合同纠纷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C5BBB"/>
    <w:rsid w:val="2F8B1F88"/>
    <w:rsid w:val="77C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456</Characters>
  <Lines>0</Lines>
  <Paragraphs>0</Paragraphs>
  <TotalTime>14</TotalTime>
  <ScaleCrop>false</ScaleCrop>
  <LinksUpToDate>false</LinksUpToDate>
  <CharactersWithSpaces>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2024-12-16T02:06:00Z</dcterms:created>
  <dc:creator>Administrator</dc:creator>
  <cp:lastModifiedBy>崔会会</cp:lastModifiedBy>
  <cp:lastPrinted>2024-12-23T01:58:13Z</cp:lastPrinted>
  <dcterms:modified xsi:type="dcterms:W3CDTF">2024-12-23T02:11:29Z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A7A8EC0919B8479BAD7BD2D7E0FDA907</vt:lpwstr>
  </property>
</Properties>
</file>